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1" w:rsidRPr="00787470" w:rsidRDefault="003C1B11" w:rsidP="003C1B11">
      <w:pPr>
        <w:pStyle w:val="Titulo1"/>
        <w:rPr>
          <w:rFonts w:cs="Times New Roman"/>
        </w:rPr>
      </w:pPr>
      <w:bookmarkStart w:id="0" w:name="_GoBack"/>
      <w:bookmarkEnd w:id="0"/>
      <w:r w:rsidRPr="00787470">
        <w:rPr>
          <w:rFonts w:cs="Times New Roman"/>
        </w:rPr>
        <w:t xml:space="preserve">ACUERDO por el que se </w:t>
      </w:r>
      <w:r w:rsidR="003345FC" w:rsidRPr="00787470">
        <w:rPr>
          <w:rFonts w:cs="Times New Roman"/>
        </w:rPr>
        <w:t xml:space="preserve">reforma </w:t>
      </w:r>
      <w:r w:rsidRPr="00787470">
        <w:rPr>
          <w:rFonts w:cs="Times New Roman"/>
        </w:rPr>
        <w:t xml:space="preserve">y </w:t>
      </w:r>
      <w:r w:rsidR="003345FC" w:rsidRPr="00787470">
        <w:rPr>
          <w:rFonts w:cs="Times New Roman"/>
        </w:rPr>
        <w:t xml:space="preserve">adiciona </w:t>
      </w:r>
      <w:r w:rsidRPr="00787470">
        <w:rPr>
          <w:rFonts w:cs="Times New Roman"/>
        </w:rPr>
        <w:t>el Acuerdo por el que se armoniza la estructura de las</w:t>
      </w:r>
      <w:r w:rsidR="00787470" w:rsidRPr="00787470">
        <w:rPr>
          <w:rFonts w:cs="Times New Roman"/>
        </w:rPr>
        <w:t xml:space="preserve"> </w:t>
      </w:r>
      <w:r w:rsidRPr="00787470">
        <w:rPr>
          <w:rFonts w:cs="Times New Roman"/>
        </w:rPr>
        <w:t>cuentas públicas.</w:t>
      </w:r>
    </w:p>
    <w:p w:rsidR="003C1B11" w:rsidRDefault="003C1B11" w:rsidP="003C1B11">
      <w:pPr>
        <w:pStyle w:val="Texto"/>
        <w:rPr>
          <w:lang w:val="es-MX"/>
        </w:rPr>
      </w:pPr>
    </w:p>
    <w:p w:rsidR="003C1B11" w:rsidRPr="00541793" w:rsidRDefault="003C1B11" w:rsidP="003C1B11">
      <w:pPr>
        <w:pStyle w:val="Texto"/>
        <w:spacing w:line="246" w:lineRule="exact"/>
      </w:pPr>
      <w:r w:rsidRPr="00541793">
        <w:t>Con fundamento en el artículo 6, 7 y 9 de la Ley General de Contabilidad Gubernamental, el Consejo Nacional de Armonización Contable aprobó el siguiente:</w:t>
      </w:r>
    </w:p>
    <w:p w:rsidR="003C1B11" w:rsidRPr="00541793" w:rsidRDefault="003C1B11" w:rsidP="003C1B11">
      <w:pPr>
        <w:pStyle w:val="ANOTACION"/>
        <w:spacing w:line="246" w:lineRule="exact"/>
      </w:pPr>
      <w:r w:rsidRPr="00541793">
        <w:t>Acuerdo por el que se Reforma y Adiciona el Acuerdo por el que se armoniza</w:t>
      </w:r>
      <w:r>
        <w:t xml:space="preserve"> </w:t>
      </w:r>
      <w:r w:rsidR="00787470">
        <w:t xml:space="preserve"> </w:t>
      </w:r>
      <w:r w:rsidRPr="00541793">
        <w:t>la estructura de las cuentas públicas</w:t>
      </w:r>
    </w:p>
    <w:p w:rsidR="003C1B11" w:rsidRPr="00541793" w:rsidRDefault="003C1B11" w:rsidP="003C1B11">
      <w:pPr>
        <w:pStyle w:val="ANOTACION"/>
        <w:spacing w:line="246" w:lineRule="exact"/>
      </w:pPr>
      <w:r w:rsidRPr="00541793">
        <w:t>CONSIDERANDO</w:t>
      </w:r>
    </w:p>
    <w:p w:rsidR="003C1B11" w:rsidRPr="00541793" w:rsidRDefault="003C1B11" w:rsidP="003C1B11">
      <w:pPr>
        <w:pStyle w:val="Texto"/>
        <w:spacing w:line="246" w:lineRule="exact"/>
      </w:pPr>
      <w:r w:rsidRPr="00541793">
        <w:t>Que la Ley General de Contabilidad Gubernamental (LGCG) tiene por objeto establecer los criterios generales que regirán la contabilidad gubernamental y la emisión de información financiera, incluyendo la presupuestaria y programática, de los entes públicos, con el fin de lograr su adecuada armonización.</w:t>
      </w:r>
    </w:p>
    <w:p w:rsidR="003C1B11" w:rsidRPr="00541793" w:rsidRDefault="003C1B11" w:rsidP="003C1B11">
      <w:pPr>
        <w:pStyle w:val="Texto"/>
        <w:spacing w:line="246" w:lineRule="exact"/>
      </w:pPr>
      <w:r w:rsidRPr="00541793">
        <w:t>Que en este marco y en cumplimiento de sus funciones, el Consejo Nacional de Armonización Contable (CONAC) publicó en el Diario Oficial de la Federación (DOF) el 30 de diciembre de 2013, el Acuerdo por el que se armoniza la estructura de las cuentas públicas, así como su adición publicada en el DOF el 6 de octubre de 2014.</w:t>
      </w:r>
    </w:p>
    <w:p w:rsidR="003C1B11" w:rsidRPr="00541793" w:rsidRDefault="003C1B11" w:rsidP="003C1B11">
      <w:pPr>
        <w:pStyle w:val="Texto"/>
        <w:spacing w:line="246" w:lineRule="exact"/>
      </w:pPr>
      <w:r w:rsidRPr="00541793">
        <w:t>Que en concordancia con las diversas precisiones sobre la estructura de las cuentas públicas que presenta el Gobierno Federal y en el marco de las disposiciones jurídicas publicadas en el Diario Oficial de la Federación el 11 de agosto de 2014, en Materia de Energía, donde se transforman la Comisión Federal de Electricidad y Petróleos Mexicanos en Empresas Productivas del Estado.</w:t>
      </w:r>
    </w:p>
    <w:p w:rsidR="003C1B11" w:rsidRPr="00541793" w:rsidRDefault="003C1B11" w:rsidP="003C1B11">
      <w:pPr>
        <w:pStyle w:val="Texto"/>
        <w:spacing w:line="246" w:lineRule="exact"/>
      </w:pPr>
      <w:r w:rsidRPr="00541793">
        <w:t>Por lo expuesto, el Consejo Nacional de Armonización Contable aprobó el siguiente:</w:t>
      </w:r>
    </w:p>
    <w:p w:rsidR="003C1B11" w:rsidRPr="00541793" w:rsidRDefault="003C1B11" w:rsidP="003C1B11">
      <w:pPr>
        <w:pStyle w:val="ANOTACION"/>
        <w:spacing w:line="252" w:lineRule="exact"/>
      </w:pPr>
      <w:r w:rsidRPr="00541793">
        <w:t>Acuerdo por el que se Reforma y Adiciona el Acuerdo por el que se armoniza</w:t>
      </w:r>
      <w:r>
        <w:t xml:space="preserve"> </w:t>
      </w:r>
      <w:r w:rsidR="00787470">
        <w:t xml:space="preserve"> </w:t>
      </w:r>
      <w:r w:rsidRPr="00541793">
        <w:t>la estructura de las cuentas públicas</w:t>
      </w:r>
    </w:p>
    <w:p w:rsidR="003C1B11" w:rsidRPr="00541793" w:rsidRDefault="003C1B11" w:rsidP="003C1B11">
      <w:pPr>
        <w:pStyle w:val="Texto"/>
        <w:spacing w:line="252" w:lineRule="exact"/>
      </w:pPr>
      <w:r w:rsidRPr="00541793">
        <w:rPr>
          <w:b/>
        </w:rPr>
        <w:t>ÚNICO.-</w:t>
      </w:r>
      <w:r w:rsidRPr="00541793">
        <w:t xml:space="preserve"> En el punto 6 Información adicional a presentar en la Cuenta Pública en lo relacionado al apartado a.1 Entidades de Control Presupuestario Directo se elimina la clasificación de Entidades Paraestatales Empresariales no Financieras con Participación Estatal Mayoritaria por lo que se reforma la numeración de la clasificación de las Instituciones Públicas de la Seguridad Social y se adiciona el punto a.3 para las Empresas Productivas del Estado para quedar como sigue:</w:t>
      </w:r>
    </w:p>
    <w:p w:rsidR="003C1B11" w:rsidRPr="00541793" w:rsidRDefault="003C1B11" w:rsidP="003C1B11">
      <w:pPr>
        <w:pStyle w:val="Texto"/>
        <w:spacing w:line="252" w:lineRule="exact"/>
        <w:rPr>
          <w:b/>
        </w:rPr>
      </w:pPr>
      <w:r w:rsidRPr="00541793">
        <w:rPr>
          <w:b/>
        </w:rPr>
        <w:t>…</w:t>
      </w:r>
    </w:p>
    <w:p w:rsidR="003C1B11" w:rsidRPr="00541793" w:rsidRDefault="003C1B11" w:rsidP="003C1B11">
      <w:pPr>
        <w:pStyle w:val="Texto"/>
        <w:spacing w:line="252" w:lineRule="exact"/>
        <w:rPr>
          <w:b/>
        </w:rPr>
      </w:pPr>
      <w:r w:rsidRPr="00541793">
        <w:rPr>
          <w:b/>
        </w:rPr>
        <w:t>“6.</w:t>
      </w:r>
      <w:r w:rsidRPr="00541793">
        <w:rPr>
          <w:b/>
        </w:rPr>
        <w:tab/>
        <w:t>…</w:t>
      </w:r>
    </w:p>
    <w:p w:rsidR="003C1B11" w:rsidRPr="00541793" w:rsidRDefault="003C1B11" w:rsidP="003C1B11">
      <w:pPr>
        <w:pStyle w:val="Texto"/>
        <w:spacing w:line="252" w:lineRule="exact"/>
        <w:rPr>
          <w:b/>
        </w:rPr>
      </w:pPr>
      <w:r w:rsidRPr="00541793">
        <w:rPr>
          <w:b/>
        </w:rPr>
        <w:t>…</w:t>
      </w:r>
    </w:p>
    <w:p w:rsidR="003C1B11" w:rsidRPr="00541793" w:rsidRDefault="003C1B11" w:rsidP="003C1B11">
      <w:pPr>
        <w:pStyle w:val="Texto"/>
        <w:spacing w:line="252" w:lineRule="exact"/>
      </w:pPr>
      <w:proofErr w:type="gramStart"/>
      <w:r w:rsidRPr="00541793">
        <w:t>a.</w:t>
      </w:r>
      <w:proofErr w:type="gramEnd"/>
      <w:r w:rsidRPr="00541793">
        <w:tab/>
      </w:r>
      <w:r w:rsidRPr="00541793">
        <w:rPr>
          <w:b/>
        </w:rPr>
        <w:t>…</w:t>
      </w:r>
    </w:p>
    <w:p w:rsidR="003C1B11" w:rsidRPr="00541793" w:rsidRDefault="003C1B11" w:rsidP="003C1B11">
      <w:pPr>
        <w:pStyle w:val="INCISO"/>
        <w:spacing w:line="252" w:lineRule="exact"/>
        <w:rPr>
          <w:b/>
        </w:rPr>
      </w:pPr>
      <w:r w:rsidRPr="00541793">
        <w:t>a.1.</w:t>
      </w:r>
      <w:r w:rsidRPr="00541793">
        <w:tab/>
      </w:r>
      <w:r w:rsidRPr="00541793">
        <w:rPr>
          <w:b/>
        </w:rPr>
        <w:t>…</w:t>
      </w:r>
    </w:p>
    <w:p w:rsidR="003C1B11" w:rsidRPr="00541793" w:rsidRDefault="003C1B11" w:rsidP="003C1B11">
      <w:pPr>
        <w:pStyle w:val="Texto"/>
        <w:spacing w:line="252" w:lineRule="exact"/>
        <w:ind w:left="1800" w:hanging="711"/>
      </w:pPr>
      <w:r w:rsidRPr="00541793">
        <w:t>a.1.1</w:t>
      </w:r>
      <w:r w:rsidRPr="00541793">
        <w:tab/>
        <w:t>Instituciones Públicas de la Seguridad Social.</w:t>
      </w:r>
    </w:p>
    <w:p w:rsidR="003C1B11" w:rsidRPr="00541793" w:rsidRDefault="003C1B11" w:rsidP="003C1B11">
      <w:pPr>
        <w:pStyle w:val="INCISO"/>
        <w:spacing w:line="252" w:lineRule="exact"/>
      </w:pPr>
      <w:r w:rsidRPr="00541793">
        <w:t>a.2.</w:t>
      </w:r>
      <w:r w:rsidRPr="00541793">
        <w:tab/>
      </w:r>
      <w:r w:rsidRPr="00541793">
        <w:rPr>
          <w:b/>
        </w:rPr>
        <w:t>…</w:t>
      </w:r>
    </w:p>
    <w:p w:rsidR="003C1B11" w:rsidRPr="00541793" w:rsidRDefault="003C1B11" w:rsidP="003C1B11">
      <w:pPr>
        <w:pStyle w:val="INCISO"/>
        <w:spacing w:line="252" w:lineRule="exact"/>
      </w:pPr>
      <w:r w:rsidRPr="00541793">
        <w:t>a.3.</w:t>
      </w:r>
      <w:r w:rsidRPr="00541793">
        <w:tab/>
        <w:t>Empresas Productivas del Estado</w:t>
      </w:r>
    </w:p>
    <w:p w:rsidR="003C1B11" w:rsidRPr="00541793" w:rsidRDefault="003C1B11" w:rsidP="003C1B11">
      <w:pPr>
        <w:pStyle w:val="Texto"/>
        <w:spacing w:line="252" w:lineRule="exact"/>
        <w:rPr>
          <w:b/>
        </w:rPr>
      </w:pPr>
      <w:r>
        <w:tab/>
      </w:r>
      <w:r w:rsidRPr="00541793">
        <w:rPr>
          <w:b/>
        </w:rPr>
        <w:t>…</w:t>
      </w:r>
    </w:p>
    <w:p w:rsidR="003C1B11" w:rsidRPr="00541793" w:rsidRDefault="003C1B11" w:rsidP="003C1B11">
      <w:pPr>
        <w:pStyle w:val="Texto"/>
        <w:spacing w:line="252" w:lineRule="exact"/>
      </w:pPr>
      <w:r w:rsidRPr="00541793">
        <w:t xml:space="preserve">b. </w:t>
      </w:r>
      <w:proofErr w:type="gramStart"/>
      <w:r w:rsidRPr="00541793">
        <w:t>y</w:t>
      </w:r>
      <w:proofErr w:type="gramEnd"/>
      <w:r w:rsidRPr="00541793">
        <w:t xml:space="preserve"> c. </w:t>
      </w:r>
      <w:r w:rsidRPr="00541793">
        <w:rPr>
          <w:b/>
        </w:rPr>
        <w:t>…”</w:t>
      </w:r>
    </w:p>
    <w:p w:rsidR="003C1B11" w:rsidRPr="00541793" w:rsidRDefault="003C1B11" w:rsidP="003C1B11">
      <w:pPr>
        <w:pStyle w:val="ANOTACION"/>
        <w:spacing w:line="252" w:lineRule="exact"/>
      </w:pPr>
      <w:r w:rsidRPr="00541793">
        <w:t>TRANSITORIOS</w:t>
      </w:r>
    </w:p>
    <w:p w:rsidR="003C1B11" w:rsidRPr="00541793" w:rsidRDefault="003C1B11" w:rsidP="003C1B11">
      <w:pPr>
        <w:pStyle w:val="Texto"/>
        <w:spacing w:line="252" w:lineRule="exact"/>
      </w:pPr>
      <w:r w:rsidRPr="00541793">
        <w:rPr>
          <w:b/>
        </w:rPr>
        <w:t>PRIMERO.-</w:t>
      </w:r>
      <w:r w:rsidRPr="00541793">
        <w:t xml:space="preserve"> El presente Acuerdo </w:t>
      </w:r>
      <w:r w:rsidRPr="00541793">
        <w:rPr>
          <w:lang w:val="es-MX"/>
        </w:rPr>
        <w:t>entrará</w:t>
      </w:r>
      <w:r w:rsidRPr="00541793">
        <w:t xml:space="preserve"> en vigor el día siguiente al de su publicación en el Diario Oficial de la Federación.</w:t>
      </w:r>
    </w:p>
    <w:p w:rsidR="003C1B11" w:rsidRPr="00541793" w:rsidRDefault="003C1B11" w:rsidP="003C1B11">
      <w:pPr>
        <w:pStyle w:val="Texto"/>
        <w:spacing w:line="252" w:lineRule="exact"/>
      </w:pPr>
      <w:r w:rsidRPr="00541793">
        <w:rPr>
          <w:b/>
        </w:rPr>
        <w:t xml:space="preserve">SEGUNDO.- </w:t>
      </w:r>
      <w:r w:rsidRPr="00541793">
        <w:t xml:space="preserve">Las entidades federativas, en cumplimiento de lo dispuesto por el artículo 7, segundo párrafo, de la Ley General de </w:t>
      </w:r>
      <w:r w:rsidRPr="00541793">
        <w:rPr>
          <w:lang w:val="es-MX"/>
        </w:rPr>
        <w:t>Contabilidad</w:t>
      </w:r>
      <w:r w:rsidRPr="00541793">
        <w:t xml:space="preserve"> Gubernamental deberán publicar el presente Acuerdo, en sus medios oficiales de difusión escritos y electrónicos, dentro de un plazo de 30 días hábiles siguientes a la publicación del presente en el Diario Oficial de la Federación.</w:t>
      </w:r>
    </w:p>
    <w:p w:rsidR="003C1B11" w:rsidRPr="00541793" w:rsidRDefault="003C1B11" w:rsidP="003C1B11">
      <w:pPr>
        <w:pStyle w:val="Texto"/>
        <w:spacing w:line="252" w:lineRule="exact"/>
      </w:pPr>
      <w:r w:rsidRPr="00541793">
        <w:rPr>
          <w:b/>
        </w:rPr>
        <w:t xml:space="preserve">TERCERO.- </w:t>
      </w:r>
      <w:r w:rsidRPr="00541793">
        <w:t xml:space="preserve">En términos de los artículos 7 y 15 de la Ley General de Contabilidad Gubernamental, el Secretario Técnico llevará un registro público en una página de Internet de los actos que los gobiernos de las </w:t>
      </w:r>
      <w:r w:rsidRPr="00541793">
        <w:lastRenderedPageBreak/>
        <w:t xml:space="preserve">entidades federativas, municipios y demarcaciones territoriales del Distrito Federal realicen para la adopción e implementación del presente </w:t>
      </w:r>
      <w:r w:rsidRPr="00541793">
        <w:rPr>
          <w:lang w:val="es-MX"/>
        </w:rPr>
        <w:t>Acuerdo</w:t>
      </w:r>
      <w:r w:rsidRPr="00541793">
        <w:t>.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Ciudad de México, C.P. 01110.</w:t>
      </w:r>
    </w:p>
    <w:p w:rsidR="003C1B11" w:rsidRPr="00541793" w:rsidRDefault="003C1B11" w:rsidP="00FD4452">
      <w:pPr>
        <w:pStyle w:val="Texto"/>
        <w:spacing w:line="256" w:lineRule="exact"/>
      </w:pPr>
      <w:r w:rsidRPr="00541793">
        <w:t xml:space="preserve">En la Ciudad de México, siendo las quince horas del día 23 de </w:t>
      </w:r>
      <w:r w:rsidRPr="00541793">
        <w:rPr>
          <w:lang w:val="es-MX"/>
        </w:rPr>
        <w:t>febrero</w:t>
      </w:r>
      <w:r w:rsidRPr="00541793">
        <w:t xml:space="preserve"> del año dos mil </w:t>
      </w:r>
      <w:r w:rsidRPr="00541793">
        <w:rPr>
          <w:lang w:val="es-MX"/>
        </w:rPr>
        <w:t>dieciséis</w:t>
      </w:r>
      <w:r w:rsidRPr="00541793">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41793">
        <w:rPr>
          <w:b/>
        </w:rPr>
        <w:t>HAGO CONSTAR Y CERTIFICO</w:t>
      </w:r>
      <w:r w:rsidRPr="00541793">
        <w:t xml:space="preserve"> que el documento consistente 1 foja útil, rubricada y cotejada, corresponde con el texto del Acuerdo por el que se Reforma y Adiciona el Acuerdo por el que se armoniza la estructura de las cuentas públicas,</w:t>
      </w:r>
      <w:r w:rsidRPr="00541793">
        <w:rPr>
          <w:lang w:val="es-MX"/>
        </w:rPr>
        <w:t xml:space="preserve"> </w:t>
      </w:r>
      <w:r w:rsidRPr="00541793">
        <w:t xml:space="preserve">aprobado por el Consejo Nacional de Armonización Contable, mismo que estuvo a la vista de los integrantes de dicho Consejo en su </w:t>
      </w:r>
      <w:r w:rsidRPr="00541793">
        <w:rPr>
          <w:lang w:val="es-MX"/>
        </w:rPr>
        <w:t>primera</w:t>
      </w:r>
      <w:r w:rsidRPr="00541793">
        <w:t xml:space="preserve"> reunión celebrada, en segunda convocatoria, el 23 de </w:t>
      </w:r>
      <w:r w:rsidRPr="00541793">
        <w:rPr>
          <w:lang w:val="es-MX"/>
        </w:rPr>
        <w:t>febrero</w:t>
      </w:r>
      <w:r w:rsidRPr="00541793">
        <w:t xml:space="preserve"> del presente año, situación que se certifica para los efectos legales conducentes. Rúbrica.</w:t>
      </w:r>
    </w:p>
    <w:p w:rsidR="003C1B11" w:rsidRDefault="003C1B11" w:rsidP="003C1B11">
      <w:pPr>
        <w:pStyle w:val="Texto"/>
        <w:spacing w:line="252" w:lineRule="exact"/>
      </w:pPr>
      <w:r w:rsidRPr="00541793">
        <w:t xml:space="preserve">La Secretaria Técnica del Consejo Nacional de Armonización Contable, </w:t>
      </w:r>
      <w:r w:rsidRPr="00541793">
        <w:rPr>
          <w:b/>
        </w:rPr>
        <w:t>María Teresa Castro Corro</w:t>
      </w:r>
      <w:r w:rsidRPr="00541793">
        <w:t>.- Rúbrica.</w:t>
      </w:r>
    </w:p>
    <w:sectPr w:rsidR="003C1B11" w:rsidSect="00C76151">
      <w:headerReference w:type="even" r:id="rId7"/>
      <w:headerReference w:type="default" r:id="rId8"/>
      <w:pgSz w:w="12240" w:h="15840" w:code="1"/>
      <w:pgMar w:top="1152" w:right="1699" w:bottom="1296" w:left="1699"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B4" w:rsidRDefault="005208B4">
      <w:r>
        <w:separator/>
      </w:r>
    </w:p>
  </w:endnote>
  <w:endnote w:type="continuationSeparator" w:id="0">
    <w:p w:rsidR="005208B4" w:rsidRDefault="0052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B4" w:rsidRDefault="005208B4">
      <w:r>
        <w:separator/>
      </w:r>
    </w:p>
  </w:footnote>
  <w:footnote w:type="continuationSeparator" w:id="0">
    <w:p w:rsidR="005208B4" w:rsidRDefault="0052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787470" w:rsidP="008553F7">
    <w:pPr>
      <w:pStyle w:val="Fechas"/>
      <w:rPr>
        <w:rFonts w:cs="Times New Roman"/>
      </w:rPr>
    </w:pPr>
    <w:r>
      <w:rPr>
        <w:rFonts w:cs="Times New Roman"/>
      </w:rPr>
      <w:t xml:space="preserve"> </w:t>
    </w:r>
    <w:r w:rsidR="00997015" w:rsidRPr="00787470">
      <w:rPr>
        <w:rFonts w:cs="Times New Roman"/>
      </w:rPr>
      <w:t xml:space="preserve">     (Primera Sección)</w:t>
    </w:r>
    <w:r w:rsidR="00997015" w:rsidRPr="00787470">
      <w:rPr>
        <w:rFonts w:cs="Times New Roman"/>
      </w:rPr>
      <w:tab/>
      <w:t>DIARIO OFICIAL</w:t>
    </w:r>
    <w:r w:rsidR="00997015" w:rsidRPr="00787470">
      <w:rPr>
        <w:rFonts w:cs="Times New Roman"/>
      </w:rPr>
      <w:tab/>
    </w:r>
    <w:proofErr w:type="gramStart"/>
    <w:r w:rsidR="00997015" w:rsidRPr="00787470">
      <w:rPr>
        <w:rFonts w:cs="Times New Roman"/>
      </w:rPr>
      <w:t>Lunes</w:t>
    </w:r>
    <w:proofErr w:type="gramEnd"/>
    <w:r w:rsidR="00997015" w:rsidRPr="00787470">
      <w:rPr>
        <w:rFonts w:cs="Times New Roman"/>
      </w:rPr>
      <w:t xml:space="preserve"> 29 de febrero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997015" w:rsidP="008553F7">
    <w:pPr>
      <w:pStyle w:val="Fechas"/>
      <w:rPr>
        <w:rFonts w:cs="Times New Roman"/>
      </w:rPr>
    </w:pPr>
    <w:r w:rsidRPr="00787470">
      <w:rPr>
        <w:rFonts w:cs="Times New Roman"/>
      </w:rPr>
      <w:t>Lunes 29 de febrero de 2016</w:t>
    </w:r>
    <w:r w:rsidRPr="00787470">
      <w:rPr>
        <w:rFonts w:cs="Times New Roman"/>
      </w:rPr>
      <w:tab/>
      <w:t>DIARIO OFICIAL</w:t>
    </w:r>
    <w:r w:rsidRPr="00787470">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F81"/>
    <w:rsid w:val="000115FC"/>
    <w:rsid w:val="0003772A"/>
    <w:rsid w:val="00043FEE"/>
    <w:rsid w:val="000579FF"/>
    <w:rsid w:val="00067262"/>
    <w:rsid w:val="00085CFF"/>
    <w:rsid w:val="000934C4"/>
    <w:rsid w:val="000B42E5"/>
    <w:rsid w:val="000C50D4"/>
    <w:rsid w:val="000F0FA3"/>
    <w:rsid w:val="000F706A"/>
    <w:rsid w:val="0010703B"/>
    <w:rsid w:val="001100C0"/>
    <w:rsid w:val="0012426F"/>
    <w:rsid w:val="001303A7"/>
    <w:rsid w:val="00140A5C"/>
    <w:rsid w:val="00140CB7"/>
    <w:rsid w:val="00155A7E"/>
    <w:rsid w:val="001574EC"/>
    <w:rsid w:val="001642EF"/>
    <w:rsid w:val="00176B02"/>
    <w:rsid w:val="001859D1"/>
    <w:rsid w:val="00197EBD"/>
    <w:rsid w:val="001A4DA8"/>
    <w:rsid w:val="001B6981"/>
    <w:rsid w:val="001E6CB1"/>
    <w:rsid w:val="001F6325"/>
    <w:rsid w:val="002214D8"/>
    <w:rsid w:val="00224CAB"/>
    <w:rsid w:val="0025082C"/>
    <w:rsid w:val="002518E3"/>
    <w:rsid w:val="00255299"/>
    <w:rsid w:val="00285BE5"/>
    <w:rsid w:val="00286668"/>
    <w:rsid w:val="00290296"/>
    <w:rsid w:val="00291CA7"/>
    <w:rsid w:val="002940B6"/>
    <w:rsid w:val="002B00EE"/>
    <w:rsid w:val="002B127D"/>
    <w:rsid w:val="002B3857"/>
    <w:rsid w:val="002B3898"/>
    <w:rsid w:val="002C3644"/>
    <w:rsid w:val="002D7889"/>
    <w:rsid w:val="002E0094"/>
    <w:rsid w:val="002E27EA"/>
    <w:rsid w:val="002E6D39"/>
    <w:rsid w:val="002F6279"/>
    <w:rsid w:val="002F666A"/>
    <w:rsid w:val="0030321A"/>
    <w:rsid w:val="00323864"/>
    <w:rsid w:val="0032394E"/>
    <w:rsid w:val="00326B04"/>
    <w:rsid w:val="00330780"/>
    <w:rsid w:val="003340A4"/>
    <w:rsid w:val="003345FC"/>
    <w:rsid w:val="00357A6B"/>
    <w:rsid w:val="0036410B"/>
    <w:rsid w:val="003656C6"/>
    <w:rsid w:val="00373DFE"/>
    <w:rsid w:val="0039202C"/>
    <w:rsid w:val="003B6CAB"/>
    <w:rsid w:val="003B73EA"/>
    <w:rsid w:val="003C1B11"/>
    <w:rsid w:val="003C5EB9"/>
    <w:rsid w:val="003D2259"/>
    <w:rsid w:val="003E0440"/>
    <w:rsid w:val="003E3671"/>
    <w:rsid w:val="003E5783"/>
    <w:rsid w:val="003E7472"/>
    <w:rsid w:val="00410B8C"/>
    <w:rsid w:val="00412ED6"/>
    <w:rsid w:val="004142D5"/>
    <w:rsid w:val="0041454F"/>
    <w:rsid w:val="004205B3"/>
    <w:rsid w:val="0042779F"/>
    <w:rsid w:val="004352A9"/>
    <w:rsid w:val="00440349"/>
    <w:rsid w:val="004463BD"/>
    <w:rsid w:val="00464085"/>
    <w:rsid w:val="004652D9"/>
    <w:rsid w:val="00465E99"/>
    <w:rsid w:val="004662E0"/>
    <w:rsid w:val="004A7426"/>
    <w:rsid w:val="004B2F2C"/>
    <w:rsid w:val="004C49C6"/>
    <w:rsid w:val="004D4A72"/>
    <w:rsid w:val="004E6B1F"/>
    <w:rsid w:val="004E77FB"/>
    <w:rsid w:val="004E780D"/>
    <w:rsid w:val="004F3FE9"/>
    <w:rsid w:val="00505D82"/>
    <w:rsid w:val="00512CDB"/>
    <w:rsid w:val="00514993"/>
    <w:rsid w:val="005208B4"/>
    <w:rsid w:val="00534337"/>
    <w:rsid w:val="0053581A"/>
    <w:rsid w:val="00535845"/>
    <w:rsid w:val="005438AB"/>
    <w:rsid w:val="0054733E"/>
    <w:rsid w:val="0055349C"/>
    <w:rsid w:val="005B2280"/>
    <w:rsid w:val="005B7D3D"/>
    <w:rsid w:val="005C4019"/>
    <w:rsid w:val="005C75DE"/>
    <w:rsid w:val="005D7D14"/>
    <w:rsid w:val="006071B5"/>
    <w:rsid w:val="00617ABE"/>
    <w:rsid w:val="006231E1"/>
    <w:rsid w:val="00627360"/>
    <w:rsid w:val="00627D1A"/>
    <w:rsid w:val="0063495E"/>
    <w:rsid w:val="00634C63"/>
    <w:rsid w:val="00656CFF"/>
    <w:rsid w:val="006711A8"/>
    <w:rsid w:val="00674139"/>
    <w:rsid w:val="00681BC5"/>
    <w:rsid w:val="00682361"/>
    <w:rsid w:val="00685D33"/>
    <w:rsid w:val="00691836"/>
    <w:rsid w:val="0069357B"/>
    <w:rsid w:val="00697B7C"/>
    <w:rsid w:val="006B7539"/>
    <w:rsid w:val="006D2E40"/>
    <w:rsid w:val="006E2487"/>
    <w:rsid w:val="006E2C13"/>
    <w:rsid w:val="006E4EE3"/>
    <w:rsid w:val="006E66EC"/>
    <w:rsid w:val="0070415B"/>
    <w:rsid w:val="00704492"/>
    <w:rsid w:val="00717A6D"/>
    <w:rsid w:val="00724703"/>
    <w:rsid w:val="00735E9D"/>
    <w:rsid w:val="00741ABD"/>
    <w:rsid w:val="007463C5"/>
    <w:rsid w:val="00746FC8"/>
    <w:rsid w:val="00747FFA"/>
    <w:rsid w:val="007578BE"/>
    <w:rsid w:val="00787470"/>
    <w:rsid w:val="00797AB4"/>
    <w:rsid w:val="007A0956"/>
    <w:rsid w:val="007A1222"/>
    <w:rsid w:val="007A669B"/>
    <w:rsid w:val="007B2A1A"/>
    <w:rsid w:val="007D00B8"/>
    <w:rsid w:val="007D286A"/>
    <w:rsid w:val="007E1361"/>
    <w:rsid w:val="00800D40"/>
    <w:rsid w:val="008051C9"/>
    <w:rsid w:val="008251E2"/>
    <w:rsid w:val="00827CE1"/>
    <w:rsid w:val="0083080F"/>
    <w:rsid w:val="008553F7"/>
    <w:rsid w:val="008560BE"/>
    <w:rsid w:val="008651ED"/>
    <w:rsid w:val="0087311D"/>
    <w:rsid w:val="00875A59"/>
    <w:rsid w:val="00890AC1"/>
    <w:rsid w:val="0089558E"/>
    <w:rsid w:val="008A23AE"/>
    <w:rsid w:val="008A23F3"/>
    <w:rsid w:val="008B3240"/>
    <w:rsid w:val="008B487F"/>
    <w:rsid w:val="008B5BD2"/>
    <w:rsid w:val="008B7886"/>
    <w:rsid w:val="008D17A5"/>
    <w:rsid w:val="008E35DF"/>
    <w:rsid w:val="008E760A"/>
    <w:rsid w:val="008F04C5"/>
    <w:rsid w:val="008F368B"/>
    <w:rsid w:val="008F5B94"/>
    <w:rsid w:val="008F7A18"/>
    <w:rsid w:val="009100D2"/>
    <w:rsid w:val="00913D77"/>
    <w:rsid w:val="009167A0"/>
    <w:rsid w:val="009200A2"/>
    <w:rsid w:val="009329FB"/>
    <w:rsid w:val="00945F33"/>
    <w:rsid w:val="00987BEE"/>
    <w:rsid w:val="00987F51"/>
    <w:rsid w:val="009932CA"/>
    <w:rsid w:val="00997015"/>
    <w:rsid w:val="009A6EE5"/>
    <w:rsid w:val="009A7654"/>
    <w:rsid w:val="009C02DA"/>
    <w:rsid w:val="009D23EF"/>
    <w:rsid w:val="009E1AC6"/>
    <w:rsid w:val="009E3B35"/>
    <w:rsid w:val="009E63EA"/>
    <w:rsid w:val="009F050F"/>
    <w:rsid w:val="00A21D61"/>
    <w:rsid w:val="00A25918"/>
    <w:rsid w:val="00A31E9B"/>
    <w:rsid w:val="00A333DC"/>
    <w:rsid w:val="00A53D31"/>
    <w:rsid w:val="00A5588E"/>
    <w:rsid w:val="00A73F8A"/>
    <w:rsid w:val="00A76032"/>
    <w:rsid w:val="00A76249"/>
    <w:rsid w:val="00A8099D"/>
    <w:rsid w:val="00A81D62"/>
    <w:rsid w:val="00A84922"/>
    <w:rsid w:val="00AA0802"/>
    <w:rsid w:val="00AB01D1"/>
    <w:rsid w:val="00AB4235"/>
    <w:rsid w:val="00AC0F30"/>
    <w:rsid w:val="00AD54E0"/>
    <w:rsid w:val="00B00632"/>
    <w:rsid w:val="00B14C29"/>
    <w:rsid w:val="00B170E8"/>
    <w:rsid w:val="00B30670"/>
    <w:rsid w:val="00B3769E"/>
    <w:rsid w:val="00B5534A"/>
    <w:rsid w:val="00B63531"/>
    <w:rsid w:val="00B7008A"/>
    <w:rsid w:val="00B717B3"/>
    <w:rsid w:val="00B96F54"/>
    <w:rsid w:val="00BF091C"/>
    <w:rsid w:val="00C01B5D"/>
    <w:rsid w:val="00C258E4"/>
    <w:rsid w:val="00C314A3"/>
    <w:rsid w:val="00C53565"/>
    <w:rsid w:val="00C76151"/>
    <w:rsid w:val="00C86DF8"/>
    <w:rsid w:val="00C9060E"/>
    <w:rsid w:val="00C96371"/>
    <w:rsid w:val="00CA2FDC"/>
    <w:rsid w:val="00CA3BBA"/>
    <w:rsid w:val="00CB47C3"/>
    <w:rsid w:val="00CC0602"/>
    <w:rsid w:val="00CC39A6"/>
    <w:rsid w:val="00CC71C5"/>
    <w:rsid w:val="00CD46D6"/>
    <w:rsid w:val="00CD6850"/>
    <w:rsid w:val="00CF6193"/>
    <w:rsid w:val="00D02968"/>
    <w:rsid w:val="00D04785"/>
    <w:rsid w:val="00D32C7D"/>
    <w:rsid w:val="00D34588"/>
    <w:rsid w:val="00D42FD2"/>
    <w:rsid w:val="00D54C2F"/>
    <w:rsid w:val="00D60261"/>
    <w:rsid w:val="00D64953"/>
    <w:rsid w:val="00D87572"/>
    <w:rsid w:val="00DA08DA"/>
    <w:rsid w:val="00DD6041"/>
    <w:rsid w:val="00DE4C7A"/>
    <w:rsid w:val="00DE653C"/>
    <w:rsid w:val="00DF6036"/>
    <w:rsid w:val="00DF6BC3"/>
    <w:rsid w:val="00E21F6A"/>
    <w:rsid w:val="00E30B22"/>
    <w:rsid w:val="00E35968"/>
    <w:rsid w:val="00E3798A"/>
    <w:rsid w:val="00E460F3"/>
    <w:rsid w:val="00E50177"/>
    <w:rsid w:val="00E5027B"/>
    <w:rsid w:val="00E5626A"/>
    <w:rsid w:val="00E772E5"/>
    <w:rsid w:val="00E82585"/>
    <w:rsid w:val="00E91962"/>
    <w:rsid w:val="00EA0ABD"/>
    <w:rsid w:val="00EA46E7"/>
    <w:rsid w:val="00EB10AD"/>
    <w:rsid w:val="00EB3C2A"/>
    <w:rsid w:val="00EB6551"/>
    <w:rsid w:val="00EC6D14"/>
    <w:rsid w:val="00EE5BF5"/>
    <w:rsid w:val="00EE6353"/>
    <w:rsid w:val="00EF1962"/>
    <w:rsid w:val="00EF226B"/>
    <w:rsid w:val="00F00937"/>
    <w:rsid w:val="00F22399"/>
    <w:rsid w:val="00F3140B"/>
    <w:rsid w:val="00F315C9"/>
    <w:rsid w:val="00F335AB"/>
    <w:rsid w:val="00F3736F"/>
    <w:rsid w:val="00F42E31"/>
    <w:rsid w:val="00F51E5E"/>
    <w:rsid w:val="00F64B32"/>
    <w:rsid w:val="00F70C4B"/>
    <w:rsid w:val="00F808C0"/>
    <w:rsid w:val="00F83712"/>
    <w:rsid w:val="00F85CA3"/>
    <w:rsid w:val="00F86FB0"/>
    <w:rsid w:val="00FA672D"/>
    <w:rsid w:val="00FB4FBE"/>
    <w:rsid w:val="00FC03A2"/>
    <w:rsid w:val="00FC5DD1"/>
    <w:rsid w:val="00FC7F95"/>
    <w:rsid w:val="00FD0D2C"/>
    <w:rsid w:val="00FD4452"/>
    <w:rsid w:val="00FD44E8"/>
    <w:rsid w:val="00FD7200"/>
    <w:rsid w:val="00FE5F30"/>
    <w:rsid w:val="00FE6ABD"/>
    <w:rsid w:val="00FF6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B3524-3B84-43CD-A297-ED9A1823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EA"/>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9D23EF"/>
    <w:rPr>
      <w:sz w:val="20"/>
      <w:szCs w:val="20"/>
      <w:lang w:eastAsia="es-MX"/>
    </w:rPr>
  </w:style>
  <w:style w:type="character" w:customStyle="1" w:styleId="TextonotapieCar">
    <w:name w:val="Texto nota pie Car"/>
    <w:link w:val="Textonotapie"/>
    <w:rsid w:val="009D23EF"/>
    <w:rPr>
      <w:lang w:val="es-ES"/>
    </w:rPr>
  </w:style>
  <w:style w:type="paragraph" w:styleId="Textodeglobo">
    <w:name w:val="Balloon Text"/>
    <w:basedOn w:val="Normal"/>
    <w:link w:val="TextodegloboCar"/>
    <w:rsid w:val="009D23EF"/>
    <w:rPr>
      <w:rFonts w:ascii="Tahoma" w:hAnsi="Tahoma" w:cs="Tahoma"/>
      <w:sz w:val="16"/>
      <w:szCs w:val="16"/>
    </w:rPr>
  </w:style>
  <w:style w:type="character" w:customStyle="1" w:styleId="TextodegloboCar">
    <w:name w:val="Texto de globo Car"/>
    <w:link w:val="Textodeglobo"/>
    <w:rsid w:val="009D23EF"/>
    <w:rPr>
      <w:rFonts w:ascii="Tahoma" w:hAnsi="Tahoma" w:cs="Tahoma"/>
      <w:sz w:val="16"/>
      <w:szCs w:val="16"/>
      <w:lang w:val="es-ES" w:eastAsia="es-ES"/>
    </w:rPr>
  </w:style>
  <w:style w:type="paragraph" w:customStyle="1" w:styleId="Textodebloque1">
    <w:name w:val="Texto de bloque1"/>
    <w:basedOn w:val="Normal"/>
    <w:rsid w:val="009D23EF"/>
    <w:pPr>
      <w:ind w:left="-540" w:right="-702"/>
    </w:pPr>
    <w:rPr>
      <w:rFonts w:ascii="Arial" w:hAnsi="Arial" w:cs="Arial"/>
      <w:sz w:val="22"/>
      <w:szCs w:val="20"/>
      <w:lang w:eastAsia="es-MX"/>
    </w:rPr>
  </w:style>
  <w:style w:type="paragraph" w:customStyle="1" w:styleId="texto0">
    <w:name w:val="texto"/>
    <w:basedOn w:val="Normal"/>
    <w:rsid w:val="009D23EF"/>
    <w:pPr>
      <w:spacing w:after="101" w:line="216" w:lineRule="atLeast"/>
      <w:ind w:firstLine="288"/>
      <w:jc w:val="both"/>
    </w:pPr>
    <w:rPr>
      <w:rFonts w:ascii="Arial" w:hAnsi="Arial" w:cs="Arial"/>
      <w:sz w:val="18"/>
      <w:szCs w:val="20"/>
      <w:lang w:val="es-ES_tradnl" w:eastAsia="es-MX"/>
    </w:rPr>
  </w:style>
  <w:style w:type="character" w:styleId="Refdenotaalfinal">
    <w:name w:val="endnote reference"/>
    <w:rsid w:val="009A6EE5"/>
    <w:rPr>
      <w:vertAlign w:val="superscript"/>
    </w:rPr>
  </w:style>
  <w:style w:type="character" w:styleId="Refdenotaalpie">
    <w:name w:val="footnote reference"/>
    <w:rsid w:val="009A6EE5"/>
    <w:rPr>
      <w:vertAlign w:val="superscript"/>
    </w:rPr>
  </w:style>
  <w:style w:type="paragraph" w:customStyle="1" w:styleId="Sumario">
    <w:name w:val="Sumario"/>
    <w:basedOn w:val="Normal"/>
    <w:rsid w:val="0078747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8747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verar\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2</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2016-02-25T21:56:00Z</cp:lastPrinted>
  <dcterms:created xsi:type="dcterms:W3CDTF">2016-11-30T22:02:00Z</dcterms:created>
  <dcterms:modified xsi:type="dcterms:W3CDTF">2016-11-30T22:02:00Z</dcterms:modified>
</cp:coreProperties>
</file>